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8C8" w:rsidRDefault="002E3245">
      <w:pPr>
        <w:rPr>
          <w:sz w:val="36"/>
          <w:szCs w:val="36"/>
        </w:rPr>
      </w:pPr>
      <w:r w:rsidRPr="002E3245">
        <w:rPr>
          <w:sz w:val="36"/>
          <w:szCs w:val="36"/>
        </w:rPr>
        <w:t>ALLEGATO 1</w:t>
      </w:r>
    </w:p>
    <w:p w:rsidR="002E3245" w:rsidRDefault="002E3245">
      <w:r w:rsidRPr="002E3245">
        <w:rPr>
          <w:sz w:val="36"/>
          <w:szCs w:val="36"/>
        </w:rPr>
        <w:t>Nel taccuino: timbrare il cartellino</w:t>
      </w:r>
      <w:r>
        <w:t xml:space="preserve">. </w:t>
      </w:r>
    </w:p>
    <w:p w:rsidR="002E3245" w:rsidRPr="002E3245" w:rsidRDefault="002E3245" w:rsidP="00670F68">
      <w:pPr>
        <w:jc w:val="both"/>
        <w:rPr>
          <w:sz w:val="36"/>
          <w:szCs w:val="36"/>
        </w:rPr>
      </w:pPr>
      <w:r>
        <w:t>Il  gesto di timbrare il cartellino ci richiama una giornata lavorativa. A partire da questa immagine, annotiamo nel taccuino quali riti e gesti quotidiani scandiscono i vari momenti della nostra giornata tipo feriale, evidenziando quelli della preghiera, conviviali, di lavoro, delle relazioni, del tempo libero, del riposo. Raccontiamo</w:t>
      </w:r>
      <w:r w:rsidR="00670F68">
        <w:t>.</w:t>
      </w:r>
    </w:p>
    <w:sectPr w:rsidR="002E3245" w:rsidRPr="002E3245" w:rsidSect="002E324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drawingGridHorizontalSpacing w:val="110"/>
  <w:displayHorizontalDrawingGridEvery w:val="2"/>
  <w:characterSpacingControl w:val="doNotCompress"/>
  <w:compat/>
  <w:rsids>
    <w:rsidRoot w:val="002E3245"/>
    <w:rsid w:val="001348C8"/>
    <w:rsid w:val="001A1AA7"/>
    <w:rsid w:val="002E3245"/>
    <w:rsid w:val="00670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348C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2019-09-23T15:10:00Z</dcterms:created>
  <dcterms:modified xsi:type="dcterms:W3CDTF">2019-09-23T18:09:00Z</dcterms:modified>
</cp:coreProperties>
</file>